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_UnoMark__19_1720700399"/>
    <w:bookmarkEnd w:id="0"/>
    <w:p w:rsidR="00037B2F" w:rsidRPr="00472880" w:rsidRDefault="00037B2F" w:rsidP="00037B2F">
      <w:pPr>
        <w:jc w:val="center"/>
        <w:rPr>
          <w:rFonts w:ascii="EC Square Sans Pro" w:hAnsi="EC Square Sans Pro"/>
          <w:b/>
          <w:sz w:val="26"/>
          <w:szCs w:val="26"/>
          <w:lang w:val="el-GR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8890" distB="9525" distL="119380" distR="120650" simplePos="0" relativeHeight="251657216" behindDoc="0" locked="0" layoutInCell="1" allowOverlap="1" wp14:anchorId="388597D9" wp14:editId="781F2656">
                <wp:simplePos x="0" y="0"/>
                <wp:positionH relativeFrom="column">
                  <wp:posOffset>233680</wp:posOffset>
                </wp:positionH>
                <wp:positionV relativeFrom="paragraph">
                  <wp:posOffset>-57785</wp:posOffset>
                </wp:positionV>
                <wp:extent cx="5456555" cy="1270"/>
                <wp:effectExtent l="0" t="0" r="10795" b="1778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6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5A5A5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8.4pt;margin-top:-4.55pt;width:429.65pt;height:.1pt;z-index:251658240;visibility:visible;mso-wrap-style:square;mso-width-percent:0;mso-height-percent:0;mso-wrap-distance-left:9.4pt;mso-wrap-distance-top:.7pt;mso-wrap-distance-right:9.5pt;mso-wrap-distance-bottom:.75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" path="m,l21600,21600e" filled="f" strokecolor="#5a5a5a" strokeweight=".26mm">
                <v:path arrowok="t"/>
              </v:shape>
            </w:pict>
          </mc:Fallback>
        </mc:AlternateContent>
      </w:r>
      <w:r w:rsidRPr="00472880">
        <w:rPr>
          <w:rFonts w:ascii="EC Square Sans Pro" w:hAnsi="EC Square Sans Pro"/>
          <w:b/>
          <w:sz w:val="26"/>
          <w:szCs w:val="26"/>
          <w:lang w:val="el-GR"/>
        </w:rPr>
        <w:t xml:space="preserve">2015 Προσκλήσεις υποβολής προτάσεων </w:t>
      </w:r>
      <w:r>
        <w:rPr>
          <w:rFonts w:ascii="EC Square Sans Pro" w:hAnsi="EC Square Sans Pro"/>
          <w:b/>
          <w:sz w:val="26"/>
          <w:szCs w:val="26"/>
          <w:lang w:val="el-GR"/>
        </w:rPr>
        <w:t xml:space="preserve">του 2015 για την </w:t>
      </w:r>
      <w:r w:rsidRPr="00472880">
        <w:rPr>
          <w:rFonts w:ascii="EC Square Sans Pro" w:hAnsi="EC Square Sans Pro"/>
          <w:b/>
          <w:sz w:val="26"/>
          <w:szCs w:val="26"/>
          <w:lang w:val="el-GR"/>
        </w:rPr>
        <w:t>Δ</w:t>
      </w:r>
      <w:r>
        <w:rPr>
          <w:rFonts w:ascii="EC Square Sans Pro" w:hAnsi="EC Square Sans Pro"/>
          <w:b/>
          <w:sz w:val="26"/>
          <w:szCs w:val="26"/>
          <w:lang w:val="el-GR"/>
        </w:rPr>
        <w:t xml:space="preserve">ιευκόλυνση </w:t>
      </w:r>
      <w:r w:rsidRPr="00472880">
        <w:rPr>
          <w:rFonts w:ascii="EC Square Sans Pro" w:hAnsi="EC Square Sans Pro"/>
          <w:b/>
          <w:sz w:val="26"/>
          <w:szCs w:val="26"/>
          <w:lang w:val="el-GR"/>
        </w:rPr>
        <w:t>Σ</w:t>
      </w:r>
      <w:r>
        <w:rPr>
          <w:rFonts w:ascii="EC Square Sans Pro" w:hAnsi="EC Square Sans Pro"/>
          <w:b/>
          <w:sz w:val="26"/>
          <w:szCs w:val="26"/>
          <w:lang w:val="el-GR"/>
        </w:rPr>
        <w:t xml:space="preserve">υνδέοντας την Ευρώπη (ΔΣΕ) στον τομέα των </w:t>
      </w:r>
      <w:r w:rsidRPr="00472880">
        <w:rPr>
          <w:rFonts w:ascii="EC Square Sans Pro" w:hAnsi="EC Square Sans Pro"/>
          <w:b/>
          <w:sz w:val="26"/>
          <w:szCs w:val="26"/>
          <w:lang w:val="el-GR"/>
        </w:rPr>
        <w:t>μεταφορ</w:t>
      </w:r>
      <w:r>
        <w:rPr>
          <w:rFonts w:ascii="EC Square Sans Pro" w:hAnsi="EC Square Sans Pro"/>
          <w:b/>
          <w:sz w:val="26"/>
          <w:szCs w:val="26"/>
          <w:lang w:val="el-GR"/>
        </w:rPr>
        <w:t>ών</w:t>
      </w:r>
    </w:p>
    <w:p w:rsidR="00037B2F" w:rsidRPr="00472880" w:rsidRDefault="00C63883" w:rsidP="00037B2F">
      <w:pPr>
        <w:jc w:val="center"/>
        <w:rPr>
          <w:rFonts w:ascii="EC Square Sans Pro" w:hAnsi="EC Square Sans Pro"/>
          <w:b/>
          <w:sz w:val="26"/>
          <w:szCs w:val="26"/>
          <w:lang w:val="el-GR"/>
        </w:rPr>
      </w:pPr>
      <w:r>
        <w:rPr>
          <w:rFonts w:ascii="EC Square Sans Pro" w:hAnsi="EC Square Sans Pro"/>
          <w:b/>
          <w:sz w:val="26"/>
          <w:szCs w:val="26"/>
          <w:lang w:val="el-GR"/>
        </w:rPr>
        <w:t>ΔΕΛΤΙ</w:t>
      </w:r>
      <w:r w:rsidR="001D29DF">
        <w:rPr>
          <w:rFonts w:ascii="EC Square Sans Pro" w:hAnsi="EC Square Sans Pro"/>
          <w:b/>
          <w:sz w:val="26"/>
          <w:szCs w:val="26"/>
          <w:lang w:val="el-GR"/>
        </w:rPr>
        <w:t>Ο ΧΩ</w:t>
      </w:r>
      <w:bookmarkStart w:id="1" w:name="_GoBack"/>
      <w:bookmarkEnd w:id="1"/>
      <w:r w:rsidR="00037B2F" w:rsidRPr="00472880">
        <w:rPr>
          <w:rFonts w:ascii="EC Square Sans Pro" w:hAnsi="EC Square Sans Pro"/>
          <w:b/>
          <w:sz w:val="26"/>
          <w:szCs w:val="26"/>
          <w:lang w:val="el-GR"/>
        </w:rPr>
        <w:t>ΡΑΣ</w: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037B2F" w:rsidRPr="00472880" w:rsidTr="008D2F92">
        <w:tc>
          <w:tcPr>
            <w:tcW w:w="3095" w:type="dxa"/>
            <w:shd w:val="clear" w:color="auto" w:fill="FFFFFF"/>
          </w:tcPr>
          <w:p w:rsidR="00037B2F" w:rsidRPr="00472880" w:rsidRDefault="00037B2F" w:rsidP="008D2F92">
            <w:pPr>
              <w:jc w:val="center"/>
              <w:rPr>
                <w:lang w:val="el-GR"/>
              </w:rPr>
            </w:pPr>
            <w:r w:rsidRPr="00472880">
              <w:rPr>
                <w:noProof/>
                <w:lang w:eastAsia="en-GB"/>
              </w:rPr>
              <w:drawing>
                <wp:inline distT="0" distB="0" distL="0" distR="0" wp14:anchorId="573CC220" wp14:editId="50F03C89">
                  <wp:extent cx="747395" cy="501015"/>
                  <wp:effectExtent l="0" t="0" r="0" b="0"/>
                  <wp:docPr id="2" name="Picture 1" descr="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shd w:val="clear" w:color="auto" w:fill="FFFFFF"/>
          </w:tcPr>
          <w:p w:rsidR="00037B2F" w:rsidRPr="00472880" w:rsidRDefault="00037B2F" w:rsidP="008D2F92">
            <w:pPr>
              <w:jc w:val="center"/>
              <w:rPr>
                <w:rFonts w:ascii="EC Square Sans Pro" w:hAnsi="EC Square Sans Pro"/>
                <w:b/>
                <w:sz w:val="26"/>
                <w:szCs w:val="26"/>
                <w:lang w:val="el-GR"/>
              </w:rPr>
            </w:pPr>
            <w:r w:rsidRPr="00472880">
              <w:rPr>
                <w:rFonts w:ascii="EC Square Sans Pro" w:hAnsi="EC Square Sans Pro"/>
                <w:b/>
                <w:sz w:val="26"/>
                <w:szCs w:val="26"/>
                <w:lang w:val="el-GR"/>
              </w:rPr>
              <w:t>Ελλάδα</w:t>
            </w:r>
          </w:p>
        </w:tc>
        <w:tc>
          <w:tcPr>
            <w:tcW w:w="3096" w:type="dxa"/>
            <w:shd w:val="clear" w:color="auto" w:fill="FFFFFF"/>
          </w:tcPr>
          <w:p w:rsidR="00037B2F" w:rsidRPr="00472880" w:rsidRDefault="00037B2F" w:rsidP="008D2F92">
            <w:pPr>
              <w:jc w:val="center"/>
              <w:rPr>
                <w:lang w:val="el-GR"/>
              </w:rPr>
            </w:pPr>
            <w:r w:rsidRPr="00472880">
              <w:rPr>
                <w:noProof/>
                <w:lang w:eastAsia="en-GB"/>
              </w:rPr>
              <w:drawing>
                <wp:inline distT="0" distB="0" distL="0" distR="3175" wp14:anchorId="06315F9A" wp14:editId="2F2D4B06">
                  <wp:extent cx="739775" cy="501015"/>
                  <wp:effectExtent l="0" t="0" r="0" b="0"/>
                  <wp:docPr id="3" name="Picture 30" descr="Η σημαία της ΕΕ — τα 12 αστέρια σε κύκλο συμβολίζουν τα ιδανικά της ενότητας, της αλληλεγγύης και της αρμονίας ανάμεσα στους λαούς της Ευρώπη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0" descr="Η σημαία της ΕΕ — τα 12 αστέρια σε κύκλο συμβολίζουν τα ιδανικά της ενότητας, της αλληλεγγύης και της αρμονίας ανάμεσα στους λαούς της Ευρώπη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" w:name="__UnoMark__50_1720700399"/>
    <w:bookmarkEnd w:id="2"/>
    <w:p w:rsidR="00037B2F" w:rsidRPr="00472880" w:rsidRDefault="00037B2F" w:rsidP="00037B2F">
      <w:pPr>
        <w:jc w:val="center"/>
        <w:rPr>
          <w:rFonts w:ascii="EC Square Sans Pro" w:hAnsi="EC Square Sans Pro"/>
          <w:b/>
          <w:sz w:val="24"/>
          <w:szCs w:val="24"/>
          <w:lang w:val="el-GR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6350" distB="12065" distL="119380" distR="120650" simplePos="0" relativeHeight="2516582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34925</wp:posOffset>
                </wp:positionV>
                <wp:extent cx="5456555" cy="1270"/>
                <wp:effectExtent l="0" t="0" r="10795" b="1778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6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5A5A5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8.4pt;margin-top:2.75pt;width:429.65pt;height:.1pt;z-index:251658240;visibility:visible;mso-wrap-style:square;mso-width-percent:0;mso-height-percent:0;mso-wrap-distance-left:9.4pt;mso-wrap-distance-top:.5pt;mso-wrap-distance-right:9.5pt;mso-wrap-distance-bottom:.95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" path="m,l21600,21600e" filled="f" strokecolor="#5a5a5a" strokeweight=".26mm">
                <v:path arrowok="t"/>
              </v:shape>
            </w:pict>
          </mc:Fallback>
        </mc:AlternateContent>
      </w:r>
      <w:r w:rsidRPr="00472880">
        <w:rPr>
          <w:rFonts w:ascii="EC Square Sans Pro" w:hAnsi="EC Square Sans Pro"/>
          <w:b/>
          <w:sz w:val="24"/>
          <w:szCs w:val="24"/>
          <w:lang w:val="el-GR"/>
        </w:rPr>
        <w:t>Βασικά γεγονότα και αριθμητικά στοιχεία</w:t>
      </w:r>
    </w:p>
    <w:tbl>
      <w:tblPr>
        <w:tblW w:w="9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46"/>
        <w:gridCol w:w="4746"/>
      </w:tblGrid>
      <w:tr w:rsidR="00037B2F" w:rsidRPr="00C63883" w:rsidTr="008D2F92">
        <w:trPr>
          <w:trHeight w:val="447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</w:pPr>
            <w:r w:rsidRPr="00472880"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>Αποτελέσματα αξιολόγησης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</w:pPr>
            <w:r w:rsidRPr="00472880"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 xml:space="preserve">Επιλέξιμες </w:t>
            </w:r>
            <w:r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>και Σ</w:t>
            </w:r>
            <w:r w:rsidRPr="00472880"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 xml:space="preserve">υνιστώμενες προτάσεις </w:t>
            </w:r>
            <w:r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>από την πρόσκληση</w:t>
            </w:r>
          </w:p>
        </w:tc>
      </w:tr>
      <w:tr w:rsidR="00037B2F" w:rsidRPr="00472880" w:rsidTr="008D2F92"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7B2F" w:rsidRPr="00472880" w:rsidRDefault="00037B2F" w:rsidP="008D2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EC Square Sans Pro" w:hAnsi="EC Square Sans Pro" w:cs="Arial"/>
                <w:sz w:val="20"/>
                <w:szCs w:val="20"/>
                <w:lang w:val="el-GR"/>
              </w:rPr>
            </w:pPr>
            <w:r>
              <w:rPr>
                <w:rFonts w:ascii="EC Square Sans Pro" w:hAnsi="EC Square Sans Pro" w:cs="Arial"/>
                <w:sz w:val="20"/>
                <w:szCs w:val="20"/>
                <w:lang w:val="el-GR"/>
              </w:rPr>
              <w:t>Υ</w:t>
            </w:r>
            <w:r w:rsidRPr="00472880">
              <w:rPr>
                <w:rFonts w:ascii="EC Square Sans Pro" w:hAnsi="EC Square Sans Pro" w:cs="Arial"/>
                <w:sz w:val="20"/>
                <w:szCs w:val="20"/>
                <w:lang w:val="el-GR"/>
              </w:rPr>
              <w:t xml:space="preserve">ποβλήθηκαν 20 επιλέξιμες προτάσεις </w:t>
            </w:r>
            <w:r>
              <w:rPr>
                <w:rFonts w:ascii="EC Square Sans Pro" w:hAnsi="EC Square Sans Pro" w:cs="Arial"/>
                <w:sz w:val="20"/>
                <w:szCs w:val="20"/>
                <w:lang w:val="el-GR"/>
              </w:rPr>
              <w:t xml:space="preserve">στο πλαίσιο </w:t>
            </w:r>
            <w:r w:rsidRPr="00472880">
              <w:rPr>
                <w:rFonts w:ascii="EC Square Sans Pro" w:hAnsi="EC Square Sans Pro" w:cs="Arial"/>
                <w:sz w:val="20"/>
                <w:szCs w:val="20"/>
                <w:lang w:val="el-GR"/>
              </w:rPr>
              <w:t xml:space="preserve">της πρόσκλησης υποβολής προτάσεων </w:t>
            </w:r>
            <w:r>
              <w:rPr>
                <w:rFonts w:ascii="EC Square Sans Pro" w:hAnsi="EC Square Sans Pro" w:cs="Arial"/>
                <w:sz w:val="20"/>
                <w:szCs w:val="20"/>
                <w:lang w:val="el-GR"/>
              </w:rPr>
              <w:t xml:space="preserve">με την οποία ζητήθηκε χρηματοδότηση ύψους </w:t>
            </w:r>
            <w:r w:rsidRPr="00472880">
              <w:rPr>
                <w:rFonts w:ascii="EC Square Sans Pro" w:hAnsi="EC Square Sans Pro" w:cs="Arial"/>
                <w:sz w:val="20"/>
                <w:szCs w:val="20"/>
                <w:lang w:val="el-GR"/>
              </w:rPr>
              <w:t>141</w:t>
            </w:r>
            <w:r>
              <w:rPr>
                <w:rFonts w:ascii="EC Square Sans Pro" w:hAnsi="EC Square Sans Pro" w:cs="Arial"/>
                <w:sz w:val="20"/>
                <w:szCs w:val="20"/>
                <w:lang w:val="el-GR"/>
              </w:rPr>
              <w:t>,</w:t>
            </w:r>
            <w:r w:rsidRPr="00472880">
              <w:rPr>
                <w:rFonts w:ascii="EC Square Sans Pro" w:hAnsi="EC Square Sans Pro" w:cs="Arial"/>
                <w:sz w:val="20"/>
                <w:szCs w:val="20"/>
                <w:lang w:val="el-GR"/>
              </w:rPr>
              <w:t xml:space="preserve">6 εκατ. ευρώ </w:t>
            </w:r>
            <w:r>
              <w:rPr>
                <w:rFonts w:ascii="EC Square Sans Pro" w:hAnsi="EC Square Sans Pro" w:cs="Arial"/>
                <w:sz w:val="20"/>
                <w:szCs w:val="20"/>
                <w:lang w:val="el-GR"/>
              </w:rPr>
              <w:t xml:space="preserve">από τη </w:t>
            </w:r>
            <w:r w:rsidRPr="00472880">
              <w:rPr>
                <w:rFonts w:ascii="EC Square Sans Pro" w:hAnsi="EC Square Sans Pro" w:cs="Arial"/>
                <w:sz w:val="20"/>
                <w:szCs w:val="20"/>
                <w:lang w:val="el-GR"/>
              </w:rPr>
              <w:t>ΔΣΕ.</w:t>
            </w:r>
          </w:p>
          <w:p w:rsidR="00037B2F" w:rsidRPr="00472880" w:rsidRDefault="00037B2F" w:rsidP="008D2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EC Square Sans Pro" w:hAnsi="EC Square Sans Pro" w:cs="Arial"/>
                <w:sz w:val="20"/>
                <w:szCs w:val="20"/>
                <w:lang w:val="el-GR"/>
              </w:rPr>
            </w:pPr>
            <w:r w:rsidRPr="00472880">
              <w:rPr>
                <w:rFonts w:ascii="EC Square Sans Pro" w:hAnsi="EC Square Sans Pro" w:cs="Arial"/>
                <w:sz w:val="20"/>
                <w:szCs w:val="20"/>
                <w:lang w:val="el-GR"/>
              </w:rPr>
              <w:t xml:space="preserve">Επιλέχθηκαν για χρηματοδότηση 9 προτάσεις </w:t>
            </w:r>
            <w:r>
              <w:rPr>
                <w:rFonts w:ascii="EC Square Sans Pro" w:hAnsi="EC Square Sans Pro" w:cs="Arial"/>
                <w:sz w:val="20"/>
                <w:szCs w:val="20"/>
                <w:lang w:val="el-GR"/>
              </w:rPr>
              <w:t>συνολικού ύψους 94,</w:t>
            </w:r>
            <w:r w:rsidRPr="00472880">
              <w:rPr>
                <w:rFonts w:ascii="EC Square Sans Pro" w:hAnsi="EC Square Sans Pro" w:cs="Arial"/>
                <w:sz w:val="20"/>
                <w:szCs w:val="20"/>
                <w:lang w:val="el-GR"/>
              </w:rPr>
              <w:t xml:space="preserve">1 εκατ. ευρώ </w:t>
            </w:r>
            <w:r>
              <w:rPr>
                <w:rFonts w:ascii="EC Square Sans Pro" w:hAnsi="EC Square Sans Pro" w:cs="Arial"/>
                <w:sz w:val="20"/>
                <w:szCs w:val="20"/>
                <w:lang w:val="el-GR"/>
              </w:rPr>
              <w:t xml:space="preserve">για τις οποίες προτείνεται η </w:t>
            </w:r>
            <w:r w:rsidRPr="00472880">
              <w:rPr>
                <w:rFonts w:ascii="EC Square Sans Pro" w:hAnsi="EC Square Sans Pro" w:cs="Arial"/>
                <w:sz w:val="20"/>
                <w:szCs w:val="20"/>
                <w:lang w:val="el-GR"/>
              </w:rPr>
              <w:t>χρηματοδότηση στο πλαίσιο της ΔΣΕ.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7B2F" w:rsidRPr="00472880" w:rsidRDefault="00037B2F" w:rsidP="008D2F92">
            <w:pPr>
              <w:jc w:val="center"/>
              <w:rPr>
                <w:lang w:val="el-GR"/>
              </w:rPr>
            </w:pPr>
            <w:r w:rsidRPr="00F36D14">
              <w:rPr>
                <w:rFonts w:ascii="EC Square Sans Pro" w:hAnsi="EC Square Sans Pro"/>
                <w:noProof/>
                <w:lang w:eastAsia="en-GB"/>
              </w:rPr>
              <w:drawing>
                <wp:inline distT="0" distB="0" distL="0" distR="0" wp14:anchorId="1CA5CA1C" wp14:editId="1F47494C">
                  <wp:extent cx="2633133" cy="1655234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37B2F" w:rsidRPr="00472880" w:rsidTr="008D2F92"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</w:pPr>
            <w:r w:rsidRPr="00472880"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  <w:t xml:space="preserve">Προτεινόμενη χρηματοδότηση </w:t>
            </w:r>
            <w:r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  <w:t>ανά</w:t>
            </w:r>
            <w:r w:rsidRPr="00472880"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  <w:t xml:space="preserve"> εθνικ</w:t>
            </w:r>
            <w:r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  <w:t>ές</w:t>
            </w:r>
            <w:r w:rsidRPr="00472880"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  <w:t>/πολυεθνικ</w:t>
            </w:r>
            <w:r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  <w:t>ές</w:t>
            </w:r>
            <w:r w:rsidRPr="00472880"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  <w:t xml:space="preserve"> προτάσεις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</w:pPr>
            <w:r w:rsidRPr="00472880"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  <w:t xml:space="preserve">Προτεινόμενη χρηματοδότηση ανά </w:t>
            </w:r>
            <w:r>
              <w:rPr>
                <w:rFonts w:ascii="EC Square Sans Pro" w:hAnsi="EC Square Sans Pro"/>
                <w:b/>
                <w:sz w:val="20"/>
                <w:szCs w:val="18"/>
                <w:lang w:val="el-GR"/>
              </w:rPr>
              <w:t>διάδρομο</w:t>
            </w:r>
          </w:p>
        </w:tc>
      </w:tr>
      <w:tr w:rsidR="00037B2F" w:rsidRPr="00472880" w:rsidTr="008D2F92">
        <w:tc>
          <w:tcPr>
            <w:tcW w:w="4746" w:type="dxa"/>
            <w:shd w:val="clear" w:color="auto" w:fill="auto"/>
          </w:tcPr>
          <w:p w:rsidR="00037B2F" w:rsidRPr="00472880" w:rsidRDefault="00037B2F" w:rsidP="008D2F92">
            <w:pPr>
              <w:jc w:val="center"/>
              <w:rPr>
                <w:lang w:val="el-GR"/>
              </w:rPr>
            </w:pPr>
            <w:r w:rsidRPr="00472880">
              <w:rPr>
                <w:noProof/>
                <w:lang w:eastAsia="en-GB"/>
              </w:rPr>
              <w:drawing>
                <wp:inline distT="0" distB="0" distL="0" distR="0" wp14:anchorId="39066ADB" wp14:editId="463E2455">
                  <wp:extent cx="2679700" cy="1714500"/>
                  <wp:effectExtent l="0" t="0" r="0" b="0"/>
                  <wp:docPr id="6" name="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46" w:type="dxa"/>
            <w:shd w:val="clear" w:color="auto" w:fill="auto"/>
          </w:tcPr>
          <w:p w:rsidR="00037B2F" w:rsidRPr="00472880" w:rsidRDefault="00037B2F" w:rsidP="008D2F92">
            <w:pPr>
              <w:jc w:val="center"/>
              <w:rPr>
                <w:lang w:val="el-GR"/>
              </w:rPr>
            </w:pPr>
            <w:r w:rsidRPr="00472880">
              <w:rPr>
                <w:noProof/>
                <w:lang w:eastAsia="en-GB"/>
              </w:rPr>
              <w:drawing>
                <wp:inline distT="0" distB="127000" distL="0" distR="0" wp14:anchorId="21FC7331" wp14:editId="6CDBE60E">
                  <wp:extent cx="2756140" cy="1722967"/>
                  <wp:effectExtent l="0" t="0" r="0" b="0"/>
                  <wp:docPr id="7" name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761" cy="172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B2F" w:rsidRPr="00472880" w:rsidTr="008D2F92">
        <w:trPr>
          <w:trHeight w:val="456"/>
        </w:trPr>
        <w:tc>
          <w:tcPr>
            <w:tcW w:w="4746" w:type="dxa"/>
            <w:shd w:val="clear" w:color="auto" w:fill="DBE5F1"/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</w:pPr>
            <w:r w:rsidRPr="00472880"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 xml:space="preserve">Προτεινόμενη χρηματοδότηση </w:t>
            </w:r>
            <w:r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 xml:space="preserve">ανά </w:t>
            </w:r>
            <w:r w:rsidRPr="00472880"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>προτεραιότητα</w:t>
            </w:r>
          </w:p>
        </w:tc>
        <w:tc>
          <w:tcPr>
            <w:tcW w:w="4746" w:type="dxa"/>
            <w:shd w:val="clear" w:color="auto" w:fill="DBE5F1"/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</w:pPr>
            <w:r w:rsidRPr="00472880"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 xml:space="preserve">Προτεινόμενη χρηματοδότηση </w:t>
            </w:r>
            <w:r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 xml:space="preserve">ανά </w:t>
            </w:r>
            <w:r w:rsidRPr="00472880">
              <w:rPr>
                <w:rFonts w:ascii="EC Square Sans Pro" w:hAnsi="EC Square Sans Pro"/>
                <w:b/>
                <w:sz w:val="20"/>
                <w:szCs w:val="24"/>
                <w:lang w:val="el-GR"/>
              </w:rPr>
              <w:t>διάδρομο*</w:t>
            </w:r>
          </w:p>
        </w:tc>
      </w:tr>
      <w:tr w:rsidR="00037B2F" w:rsidRPr="00472880" w:rsidTr="008D2F92">
        <w:tc>
          <w:tcPr>
            <w:tcW w:w="4746" w:type="dxa"/>
            <w:shd w:val="clear" w:color="auto" w:fill="auto"/>
          </w:tcPr>
          <w:p w:rsidR="00037B2F" w:rsidRPr="00472880" w:rsidRDefault="00037B2F" w:rsidP="008D2F92">
            <w:pPr>
              <w:jc w:val="center"/>
              <w:rPr>
                <w:lang w:val="el-GR"/>
              </w:rPr>
            </w:pPr>
            <w:r w:rsidRPr="00472880">
              <w:rPr>
                <w:noProof/>
                <w:lang w:eastAsia="en-GB"/>
              </w:rPr>
              <w:drawing>
                <wp:inline distT="0" distB="127000" distL="0" distR="0" wp14:anchorId="286D69F5" wp14:editId="0886A9EF">
                  <wp:extent cx="1944486" cy="1701800"/>
                  <wp:effectExtent l="0" t="0" r="0" b="0"/>
                  <wp:docPr id="8" name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09" cy="170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shd w:val="clear" w:color="auto" w:fill="auto"/>
          </w:tcPr>
          <w:p w:rsidR="00037B2F" w:rsidRPr="00472880" w:rsidRDefault="00037B2F" w:rsidP="008D2F92">
            <w:pPr>
              <w:jc w:val="center"/>
              <w:rPr>
                <w:lang w:val="el-GR"/>
              </w:rPr>
            </w:pPr>
            <w:r w:rsidRPr="00472880">
              <w:rPr>
                <w:noProof/>
                <w:lang w:eastAsia="en-GB"/>
              </w:rPr>
              <w:drawing>
                <wp:inline distT="0" distB="127000" distL="0" distR="0" wp14:anchorId="624606DA" wp14:editId="3381B895">
                  <wp:extent cx="1886442" cy="1651000"/>
                  <wp:effectExtent l="0" t="0" r="0" b="0"/>
                  <wp:docPr id="9" name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84" cy="165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B2F" w:rsidRPr="00C63883" w:rsidTr="008D2F92">
        <w:tc>
          <w:tcPr>
            <w:tcW w:w="9492" w:type="dxa"/>
            <w:gridSpan w:val="2"/>
            <w:shd w:val="clear" w:color="auto" w:fill="auto"/>
          </w:tcPr>
          <w:p w:rsidR="00037B2F" w:rsidRPr="005E7836" w:rsidRDefault="00037B2F" w:rsidP="008D2F92">
            <w:pPr>
              <w:pStyle w:val="Footer"/>
              <w:rPr>
                <w:noProof/>
                <w:lang w:val="el-GR" w:eastAsia="en-GB"/>
              </w:rPr>
            </w:pPr>
            <w:r w:rsidRPr="00472880">
              <w:rPr>
                <w:rFonts w:ascii="EC Square Sans Pro" w:hAnsi="EC Square Sans Pro" w:cs="Arial"/>
                <w:sz w:val="16"/>
                <w:szCs w:val="16"/>
                <w:lang w:val="el-GR"/>
              </w:rPr>
              <w:lastRenderedPageBreak/>
              <w:t xml:space="preserve">* </w:t>
            </w:r>
            <w:r>
              <w:rPr>
                <w:rFonts w:ascii="EC Square Sans Pro" w:hAnsi="EC Square Sans Pro" w:cs="Arial"/>
                <w:sz w:val="16"/>
                <w:szCs w:val="16"/>
                <w:lang w:val="el-GR"/>
              </w:rPr>
              <w:t xml:space="preserve">Οι </w:t>
            </w:r>
            <w:r w:rsidRPr="00472880">
              <w:rPr>
                <w:rFonts w:ascii="EC Square Sans Pro" w:hAnsi="EC Square Sans Pro" w:cs="Arial"/>
                <w:sz w:val="16"/>
                <w:szCs w:val="16"/>
                <w:lang w:val="el-GR"/>
              </w:rPr>
              <w:t>προτάσεις μπορ</w:t>
            </w:r>
            <w:r>
              <w:rPr>
                <w:rFonts w:ascii="EC Square Sans Pro" w:hAnsi="EC Square Sans Pro" w:cs="Arial"/>
                <w:sz w:val="16"/>
                <w:szCs w:val="16"/>
                <w:lang w:val="el-GR"/>
              </w:rPr>
              <w:t xml:space="preserve">ούν </w:t>
            </w:r>
            <w:r w:rsidRPr="00472880">
              <w:rPr>
                <w:rFonts w:ascii="EC Square Sans Pro" w:hAnsi="EC Square Sans Pro" w:cs="Arial"/>
                <w:sz w:val="16"/>
                <w:szCs w:val="16"/>
                <w:lang w:val="el-GR"/>
              </w:rPr>
              <w:t xml:space="preserve">να </w:t>
            </w:r>
            <w:r>
              <w:rPr>
                <w:rFonts w:ascii="EC Square Sans Pro" w:hAnsi="EC Square Sans Pro" w:cs="Arial"/>
                <w:sz w:val="16"/>
                <w:szCs w:val="16"/>
                <w:lang w:val="el-GR"/>
              </w:rPr>
              <w:t xml:space="preserve">καλύπτουν </w:t>
            </w:r>
            <w:r w:rsidRPr="00472880">
              <w:rPr>
                <w:rFonts w:ascii="EC Square Sans Pro" w:hAnsi="EC Square Sans Pro" w:cs="Arial"/>
                <w:sz w:val="16"/>
                <w:szCs w:val="16"/>
                <w:lang w:val="el-GR"/>
              </w:rPr>
              <w:t>περισσότερους του ενός διαδρόμους.</w:t>
            </w:r>
            <w:r w:rsidRPr="00472880">
              <w:rPr>
                <w:rFonts w:ascii="EC Square Sans Pro" w:hAnsi="EC Square Sans Pro" w:cs="Arial"/>
                <w:sz w:val="24"/>
                <w:szCs w:val="24"/>
                <w:lang w:val="el-GR"/>
              </w:rPr>
              <w:t xml:space="preserve"> </w:t>
            </w:r>
            <w:r w:rsidRPr="00472880">
              <w:rPr>
                <w:rFonts w:ascii="EC Square Sans Pro" w:hAnsi="EC Square Sans Pro" w:cs="Arial"/>
                <w:sz w:val="16"/>
                <w:szCs w:val="16"/>
                <w:lang w:val="el-GR"/>
              </w:rPr>
              <w:t>Στην περίπτωση αυτή, η προτεινόμενη χρηματοδότηση αντιπροσωπεύει το συνολικό ποσό και όχι το μερίδιο του διαδρόμου στην πρόταση.</w:t>
            </w:r>
          </w:p>
        </w:tc>
      </w:tr>
    </w:tbl>
    <w:p w:rsidR="00037B2F" w:rsidRPr="00472880" w:rsidRDefault="00037B2F" w:rsidP="00037B2F">
      <w:pPr>
        <w:rPr>
          <w:rFonts w:ascii="EC Square Sans Pro" w:hAnsi="EC Square Sans Pro"/>
          <w:b/>
          <w:sz w:val="24"/>
          <w:szCs w:val="24"/>
          <w:lang w:val="el-GR"/>
        </w:rPr>
      </w:pPr>
      <w:r w:rsidRPr="00472880">
        <w:rPr>
          <w:rFonts w:ascii="EC Square Sans Pro" w:hAnsi="EC Square Sans Pro"/>
          <w:b/>
          <w:sz w:val="24"/>
          <w:szCs w:val="24"/>
          <w:lang w:val="el-GR"/>
        </w:rPr>
        <w:t>Κατάλογος των προτάσεων που επιλέχθηκαν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37"/>
        <w:gridCol w:w="1577"/>
        <w:gridCol w:w="1296"/>
        <w:gridCol w:w="3775"/>
        <w:gridCol w:w="1602"/>
      </w:tblGrid>
      <w:tr w:rsidR="00037B2F" w:rsidRPr="00C63883" w:rsidTr="008D2F92">
        <w:trPr>
          <w:cantSplit/>
          <w:trHeight w:val="255"/>
          <w:tblHeader/>
        </w:trPr>
        <w:tc>
          <w:tcPr>
            <w:tcW w:w="10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17365D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  <w:t>Πρόσκληση</w:t>
            </w:r>
          </w:p>
        </w:tc>
        <w:tc>
          <w:tcPr>
            <w:tcW w:w="15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17365D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</w:pPr>
            <w:r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  <w:t xml:space="preserve">Κωδικός </w:t>
            </w:r>
            <w:r w:rsidRPr="00472880"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  <w:t>Πρόταση</w:t>
            </w:r>
            <w:r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  <w:t>ς</w:t>
            </w:r>
          </w:p>
        </w:tc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17365D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  <w:t>Τίτλος της πρότασης</w:t>
            </w:r>
          </w:p>
        </w:tc>
        <w:tc>
          <w:tcPr>
            <w:tcW w:w="37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17365D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  <w:t>Περιγραφή της πρότασης</w:t>
            </w:r>
          </w:p>
        </w:tc>
        <w:tc>
          <w:tcPr>
            <w:tcW w:w="16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17365D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</w:pPr>
            <w:r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  <w:t xml:space="preserve">Πρόταση για χρηματοδότηση από τη </w:t>
            </w:r>
            <w:r w:rsidRPr="00472880"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  <w:t>Διευκόλυνση «Συνδέοντας την Ευρώπη»**,</w:t>
            </w:r>
            <w:r>
              <w:rPr>
                <w:rFonts w:ascii="EC Square Sans Pro" w:eastAsia="Times New Roman" w:hAnsi="EC Square Sans Pro"/>
                <w:b/>
                <w:bCs/>
                <w:color w:val="FFFFFF"/>
                <w:sz w:val="16"/>
                <w:szCs w:val="16"/>
                <w:lang w:val="el-GR" w:eastAsia="en-GB"/>
              </w:rPr>
              <w:t xml:space="preserve"> €</w:t>
            </w:r>
          </w:p>
        </w:tc>
      </w:tr>
      <w:tr w:rsidR="00037B2F" w:rsidRPr="00B71C9B" w:rsidTr="008D2F92">
        <w:trPr>
          <w:cantSplit/>
          <w:trHeight w:val="1530"/>
        </w:trPr>
        <w:tc>
          <w:tcPr>
            <w:tcW w:w="1037" w:type="dxa"/>
            <w:tcBorders>
              <w:left w:val="single" w:sz="8" w:space="0" w:color="7BA0CD"/>
            </w:tcBorders>
            <w:shd w:val="clear" w:color="auto" w:fill="D3DFEE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Συνοχή</w:t>
            </w:r>
          </w:p>
        </w:tc>
        <w:tc>
          <w:tcPr>
            <w:tcW w:w="1577" w:type="dxa"/>
            <w:shd w:val="clear" w:color="auto" w:fill="D3DFEE"/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2015-EL-TM-0253-W</w:t>
            </w:r>
          </w:p>
        </w:tc>
        <w:tc>
          <w:tcPr>
            <w:tcW w:w="1296" w:type="dxa"/>
            <w:shd w:val="clear" w:color="auto" w:fill="D3DFEE"/>
            <w:vAlign w:val="center"/>
          </w:tcPr>
          <w:p w:rsidR="00037B2F" w:rsidRPr="00472880" w:rsidRDefault="00037B2F" w:rsidP="008D2F92">
            <w:pP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Κατασκευή της σιδηροδρομικής υποδομής</w:t>
            </w:r>
            <w:r w:rsidRPr="00BA1794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στο τμήμα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Ψαθόπυργος</w:t>
            </w:r>
            <w:proofErr w:type="spellEnd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— Πάτρα</w:t>
            </w:r>
          </w:p>
        </w:tc>
        <w:tc>
          <w:tcPr>
            <w:tcW w:w="3775" w:type="dxa"/>
            <w:shd w:val="clear" w:color="auto" w:fill="D3DFEE"/>
            <w:vAlign w:val="center"/>
          </w:tcPr>
          <w:p w:rsidR="00037B2F" w:rsidRPr="00472880" w:rsidRDefault="00037B2F" w:rsidP="008D2F92">
            <w:pPr>
              <w:jc w:val="both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Η δράση αποσκοπεί στην άρση των σημείων συμφόρησης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με την αντικατάσταση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της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σιδηροδρομική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γραμμή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ς μονής τροχιάς με γραμμή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διπλής τροχ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ιάς τυποποιημένου εύρους σε μήκο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 10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,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5 χιλιομέ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τρων στο τμήμα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Ψαθόπυργος</w:t>
            </w:r>
            <w:proofErr w:type="spellEnd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- Πάτρα. Βρίσκεται στον Ανατολικό Διάδρομο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/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Διάδρομο Ανατολικής Μεσογείου και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αποτελεί μέρος του γενικού σχεδίου για την κατασκευή του τμ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ήματος της σιδηροδρομικής γραμμής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Διακοφτό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 w:rsidRPr="00B71C9B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-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Πάτρα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καθώς και του σιδηροδρομικού άξονα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Αθή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να — Πάτρα.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Οι δραστηριότητες περιλαμβάνουν την κατα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σκευή υποδομών σε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 w:rsidRPr="00B71C9B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τμήματα ανοικτών γραμμών,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δύο εκσκαφές ανοικτού ορύγματος</w:t>
            </w:r>
            <w:r w:rsidRPr="00BE747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,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απαλλοτριώσεις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γης, μεταφορά δικτύων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κοινής ωφελείας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, αρχαιολογικές εργασί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ες, καθώς και τη διαχείριση έργων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 Μακροπρόθεσμα, η δράση θα συμβάλει στη μείωση του χρόνου μετακίνη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σης μεταξύ Αθήνας και Πάτρας κατά τουλάχιστον 1 ώρα και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25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λεπτά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</w:p>
        </w:tc>
        <w:tc>
          <w:tcPr>
            <w:tcW w:w="1602" w:type="dxa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037B2F" w:rsidRPr="00472880" w:rsidRDefault="00037B2F" w:rsidP="008D2F92">
            <w:pPr>
              <w:jc w:val="right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78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537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185</w:t>
            </w:r>
          </w:p>
        </w:tc>
      </w:tr>
      <w:tr w:rsidR="00037B2F" w:rsidRPr="00B71C9B" w:rsidTr="008D2F92">
        <w:trPr>
          <w:cantSplit/>
          <w:trHeight w:val="1275"/>
        </w:trPr>
        <w:tc>
          <w:tcPr>
            <w:tcW w:w="1037" w:type="dxa"/>
            <w:tcBorders>
              <w:left w:val="single" w:sz="8" w:space="0" w:color="7BA0CD"/>
            </w:tcBorders>
            <w:shd w:val="clear" w:color="auto" w:fill="auto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Συνοχή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2015-EU-TM-0197-M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37B2F" w:rsidRPr="00472880" w:rsidRDefault="00037B2F" w:rsidP="008D2F92">
            <w:pP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Υλοποίηση  προγράμματος εγκατάστασης του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SESAR 2015 — Δέσμη 3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037B2F" w:rsidRPr="00472880" w:rsidRDefault="00037B2F" w:rsidP="008D2F92">
            <w:pPr>
              <w:jc w:val="both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Η δράση συνεισφέρει στην εγκατ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άσταση του SESAR και στοχεύει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να διευκολύνει τη συντονισμένη και συγχρονισμένη εγκατάσταση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δέσμης έργων υλοποίησης έργων (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IPs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) στα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κρ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άτη μέλη του Ταμείου Συνοχής. Τα εν λόγω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IPs</w:t>
            </w:r>
            <w:r w:rsidRPr="003C1A36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προσαρμόζονται σ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το πρότυπο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των πιλοτικών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κοινών έργων (PCP)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, όπως ορίζονται στον κανονισμό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(ΕΕ)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αριθ.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  <w:lang w:val="el-GR" w:eastAsia="en-GB"/>
              </w:rPr>
              <w:t> 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716/2014 </w:t>
            </w:r>
            <w:r>
              <w:rPr>
                <w:rFonts w:ascii="EC Square Sans Pro" w:eastAsia="Times New Roman" w:hAnsi="EC Square Sans Pro" w:cs="EC Square Sans Pro"/>
                <w:color w:val="000000"/>
                <w:sz w:val="14"/>
                <w:szCs w:val="14"/>
                <w:lang w:val="el-GR" w:eastAsia="en-GB"/>
              </w:rPr>
              <w:t>και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 w:cs="EC Square Sans Pro"/>
                <w:color w:val="000000"/>
                <w:sz w:val="14"/>
                <w:szCs w:val="14"/>
                <w:lang w:val="el-GR" w:eastAsia="en-GB"/>
              </w:rPr>
              <w:t>αναμένεται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 w:cs="EC Square Sans Pro"/>
                <w:color w:val="000000"/>
                <w:sz w:val="14"/>
                <w:szCs w:val="14"/>
                <w:lang w:val="el-GR" w:eastAsia="en-GB"/>
              </w:rPr>
              <w:t>πως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 w:cs="EC Square Sans Pro"/>
                <w:color w:val="000000"/>
                <w:sz w:val="14"/>
                <w:szCs w:val="14"/>
                <w:lang w:val="el-GR" w:eastAsia="en-GB"/>
              </w:rPr>
              <w:t>θα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 w:cs="EC Square Sans Pro"/>
                <w:color w:val="000000"/>
                <w:sz w:val="14"/>
                <w:szCs w:val="14"/>
                <w:lang w:val="el-GR" w:eastAsia="en-GB"/>
              </w:rPr>
              <w:t>συμβάλλουν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 w:cs="EC Square Sans Pro"/>
                <w:color w:val="000000"/>
                <w:sz w:val="14"/>
                <w:szCs w:val="14"/>
                <w:lang w:val="el-GR" w:eastAsia="en-GB"/>
              </w:rPr>
              <w:t>στη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 w:cs="EC Square Sans Pro"/>
                <w:color w:val="000000"/>
                <w:sz w:val="14"/>
                <w:szCs w:val="14"/>
                <w:lang w:val="el-GR" w:eastAsia="en-GB"/>
              </w:rPr>
              <w:t>βελτίωση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 w:cs="EC Square Sans Pro"/>
                <w:color w:val="000000"/>
                <w:sz w:val="14"/>
                <w:szCs w:val="14"/>
                <w:lang w:val="el-GR" w:eastAsia="en-GB"/>
              </w:rPr>
              <w:t>των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 w:cs="EC Square Sans Pro"/>
                <w:color w:val="000000"/>
                <w:sz w:val="14"/>
                <w:szCs w:val="14"/>
                <w:lang w:val="el-GR" w:eastAsia="en-GB"/>
              </w:rPr>
              <w:t>επιδόσεων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τ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ου σχεδίου διαχείρισης εναέριας κυκλοφορίας (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ATM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).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Η δρ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άση αυτή περιλαμβάνει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IPs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σε πέντε από τις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έξι λειτουργίες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του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ATM (AF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S) που περιγράφονται στο PCP. Ο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προγραμματισμό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 της υλοποίηση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 είναι σύμφωνο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με τις επιδιωκόμενες ημερομηνίες εγκατάστασης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που καθορίζονται στον κανονισμό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(ΕΕ) αριθ.</w:t>
            </w:r>
            <w:r w:rsidRPr="00472880">
              <w:rPr>
                <w:rFonts w:ascii="Arial" w:eastAsia="Times New Roman" w:hAnsi="Arial"/>
                <w:color w:val="000000"/>
                <w:sz w:val="14"/>
                <w:szCs w:val="14"/>
                <w:lang w:val="el-GR" w:eastAsia="en-GB"/>
              </w:rPr>
              <w:t> 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716/2014.</w:t>
            </w:r>
          </w:p>
        </w:tc>
        <w:tc>
          <w:tcPr>
            <w:tcW w:w="1602" w:type="dxa"/>
            <w:tcBorders>
              <w:right w:val="single" w:sz="8" w:space="0" w:color="7BA0CD"/>
            </w:tcBorders>
            <w:shd w:val="clear" w:color="auto" w:fill="auto"/>
            <w:vAlign w:val="center"/>
          </w:tcPr>
          <w:p w:rsidR="00037B2F" w:rsidRPr="00472880" w:rsidRDefault="00037B2F" w:rsidP="008D2F92">
            <w:pPr>
              <w:jc w:val="right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484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870</w:t>
            </w:r>
          </w:p>
        </w:tc>
      </w:tr>
      <w:tr w:rsidR="00037B2F" w:rsidRPr="00B71C9B" w:rsidTr="008D2F92">
        <w:trPr>
          <w:cantSplit/>
          <w:trHeight w:val="1530"/>
        </w:trPr>
        <w:tc>
          <w:tcPr>
            <w:tcW w:w="1037" w:type="dxa"/>
            <w:tcBorders>
              <w:left w:val="single" w:sz="8" w:space="0" w:color="7BA0CD"/>
            </w:tcBorders>
            <w:shd w:val="clear" w:color="auto" w:fill="D3DFEE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Συνοχή</w:t>
            </w:r>
          </w:p>
        </w:tc>
        <w:tc>
          <w:tcPr>
            <w:tcW w:w="1577" w:type="dxa"/>
            <w:shd w:val="clear" w:color="auto" w:fill="D3DFEE"/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2015-EU-TM-0235-S</w:t>
            </w:r>
          </w:p>
        </w:tc>
        <w:tc>
          <w:tcPr>
            <w:tcW w:w="1296" w:type="dxa"/>
            <w:shd w:val="clear" w:color="auto" w:fill="D3DFEE"/>
            <w:vAlign w:val="center"/>
          </w:tcPr>
          <w:p w:rsidR="00037B2F" w:rsidRDefault="00037B2F" w:rsidP="008D2F92">
            <w:pP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E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LEMED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— </w:t>
            </w:r>
          </w:p>
          <w:p w:rsidR="00037B2F" w:rsidRPr="00472880" w:rsidRDefault="00037B2F" w:rsidP="008D2F92">
            <w:pP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Εξηλεκτρισμός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της Ανατολικής Μεσογείου</w:t>
            </w:r>
          </w:p>
        </w:tc>
        <w:tc>
          <w:tcPr>
            <w:tcW w:w="3775" w:type="dxa"/>
            <w:shd w:val="clear" w:color="auto" w:fill="D3DFEE"/>
            <w:vAlign w:val="center"/>
          </w:tcPr>
          <w:p w:rsidR="00037B2F" w:rsidRPr="00472880" w:rsidRDefault="00037B2F" w:rsidP="008D2F92">
            <w:pP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Η παρούσα ταυτόχρονη διπλή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δράση (μ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ε την 2015-EU-TM-0236-S) θα επιτρέψει την εισαγωγή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ενέργειας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που παράγεται στην ξηρά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ως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εναλλακτική λύση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πρόωσης </w:t>
            </w:r>
            <w:proofErr w:type="spellStart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πλοί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ν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στην Ανατολική Μεσόγειο. Περιλαμβάνει 4 λιμένε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 σε 3 χώρες της ΕΕ: Κύπρο (Λιμένας Λεμεσού), Ελλάδα (Λιμένας Κυλλήνης, Λιμένας Πειραιώς) και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Σλο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βενία (Λ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ιμένας </w:t>
            </w:r>
            <w:proofErr w:type="spellStart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Koper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). Η δράση περιλαμβάνει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συλλογή βασικών πληροφοριών και προπαρασκευαστικές μελέτες μαζί με την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πιλοτική εφαρμογή </w:t>
            </w:r>
            <w:r w:rsidRPr="000E7385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ηλεκτροδότηση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</w:t>
            </w:r>
            <w:r w:rsidRPr="000E7385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ελλιμενισμένων πλοίων από την ξηρά ("</w:t>
            </w:r>
            <w:proofErr w:type="spellStart"/>
            <w:r w:rsidRPr="000E7385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cold</w:t>
            </w:r>
            <w:proofErr w:type="spellEnd"/>
            <w:r w:rsidRPr="000E7385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proofErr w:type="spellStart"/>
            <w:r w:rsidRPr="000E7385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ironing</w:t>
            </w:r>
            <w:proofErr w:type="spellEnd"/>
            <w:r w:rsidRPr="000E7385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")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στο λιμένα Κυλλήνης.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Τα παραπάνω εμπίπτουν σ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τον Ανατολικό Διάδρομο/Διάδρομο Α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νατολικής Μεσογείου και αποτελούν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μέρος του γενικού σχεδίου για την εφαρμογή φιλι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κών προς το περιβάλλον θαλάσσιων μεταφορών στην Αδριατική Θάλασσα και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τον Ανατολικό Διάδρομο/Δ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ιάδρομο Ανατολικής Μεσογείου. Με το έργο θα προωθηθεί ο εξηλεκτρισμός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των πλοίων με αποτέλεσμα τη βελτίωση των περιβαλλοντικών επιδόσεων της ναυτιλίας.</w:t>
            </w:r>
          </w:p>
        </w:tc>
        <w:tc>
          <w:tcPr>
            <w:tcW w:w="1602" w:type="dxa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037B2F" w:rsidRPr="00472880" w:rsidRDefault="00037B2F" w:rsidP="008D2F92">
            <w:pPr>
              <w:jc w:val="right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934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650</w:t>
            </w:r>
          </w:p>
        </w:tc>
      </w:tr>
      <w:tr w:rsidR="00037B2F" w:rsidRPr="00B71C9B" w:rsidTr="008D2F92">
        <w:trPr>
          <w:cantSplit/>
          <w:trHeight w:val="1530"/>
        </w:trPr>
        <w:tc>
          <w:tcPr>
            <w:tcW w:w="1037" w:type="dxa"/>
            <w:tcBorders>
              <w:left w:val="single" w:sz="8" w:space="0" w:color="7BA0CD"/>
            </w:tcBorders>
            <w:shd w:val="clear" w:color="auto" w:fill="D3DFEE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lastRenderedPageBreak/>
              <w:t>ΓΕΝΙΚΑ</w:t>
            </w:r>
          </w:p>
        </w:tc>
        <w:tc>
          <w:tcPr>
            <w:tcW w:w="1577" w:type="dxa"/>
            <w:shd w:val="clear" w:color="auto" w:fill="D3DFEE"/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2015-EU-TM-0108-S</w:t>
            </w:r>
          </w:p>
        </w:tc>
        <w:tc>
          <w:tcPr>
            <w:tcW w:w="1296" w:type="dxa"/>
            <w:shd w:val="clear" w:color="auto" w:fill="D3DFEE"/>
            <w:vAlign w:val="center"/>
          </w:tcPr>
          <w:p w:rsidR="00037B2F" w:rsidRPr="00472880" w:rsidRDefault="00037B2F" w:rsidP="008D2F92">
            <w:pP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Πρόληψη συμβάντων και ατυχη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μάτων από ασφαλέστερα πλοία σ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τους ωκεανούς</w:t>
            </w:r>
          </w:p>
        </w:tc>
        <w:tc>
          <w:tcPr>
            <w:tcW w:w="3775" w:type="dxa"/>
            <w:shd w:val="clear" w:color="auto" w:fill="D3DFEE"/>
            <w:vAlign w:val="center"/>
          </w:tcPr>
          <w:p w:rsidR="00037B2F" w:rsidRPr="00472880" w:rsidRDefault="00037B2F" w:rsidP="008D2F92">
            <w:pPr>
              <w:jc w:val="both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Το παγκόσμιο πλαίσιο στο οποίο τοποθετείται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το P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ICASSO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αποβλέπει σε ένα σύγχρονο και ανεπτυγμένο ναυτιλιακό τομέα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, με ικανό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και ενημερωμένο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εργ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ατικό δυναμικό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που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θα συμβάλλει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στ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ο να καταστεί ο τομέας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περιβαλλοντγικά</w:t>
            </w:r>
            <w:proofErr w:type="spellEnd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φιλικότερος, ασφαλέστερος και πιο αποδοτικός και βιώσιμο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ς.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Το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PICASSO, είναι μια μελέτη με π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ιλοτικές δράσεις που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αποσκοπεί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στην αντιμετώπιση των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προκλήσε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ων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και τ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ων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ευκαιρ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ιών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που σχετίζονται με την ασφάλεια στη θάλασσα και την ασφάλεια των δραστηριοτήτων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επί των πλοίων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και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σ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την ξηρά.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Το </w:t>
            </w:r>
            <w:proofErr w:type="spellStart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Picasso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είναι οργανωμέν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ο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σε 4 βασικές δραστηριότητες: 1)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τις επί σκάφους ασφαλείς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και α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ποτελεσματικές δραστηριότητες· 2) την ασφάλεια στην ακτή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· 3)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τη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διαχείριση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συμβάντων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ν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· και 4) την κατάρτιση και τους ανθρώπινους παράγοντες.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Το </w:t>
            </w:r>
            <w:proofErr w:type="spellStart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Picasso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θα παρέχει λύσεις για τη βελτίωση της ασφάλειας και των συνθηκών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προστασίας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στη ναυτιλία.</w:t>
            </w:r>
          </w:p>
        </w:tc>
        <w:tc>
          <w:tcPr>
            <w:tcW w:w="1602" w:type="dxa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037B2F" w:rsidRPr="00472880" w:rsidRDefault="00037B2F" w:rsidP="008D2F92">
            <w:pPr>
              <w:jc w:val="right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165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375</w:t>
            </w:r>
          </w:p>
        </w:tc>
      </w:tr>
      <w:tr w:rsidR="00037B2F" w:rsidRPr="00B71C9B" w:rsidTr="008D2F92">
        <w:trPr>
          <w:cantSplit/>
          <w:trHeight w:val="1275"/>
        </w:trPr>
        <w:tc>
          <w:tcPr>
            <w:tcW w:w="1037" w:type="dxa"/>
            <w:tcBorders>
              <w:left w:val="single" w:sz="8" w:space="0" w:color="7BA0CD"/>
            </w:tcBorders>
            <w:shd w:val="clear" w:color="auto" w:fill="auto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ΓΕΝΙΚΑ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2015-EU-TM-0196-M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37B2F" w:rsidRPr="00472880" w:rsidRDefault="00037B2F" w:rsidP="008D2F92">
            <w:pP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Υλοποίηση του προγράμματος εγκατάστασης του SESAR 2015 — Δέσμη 2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037B2F" w:rsidRPr="00472880" w:rsidRDefault="00037B2F" w:rsidP="008D2F92">
            <w:pPr>
              <w:jc w:val="both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Η δράση συνεισφέρει στην εγκατάσταση του SESAR και θα έχει ως στόχο να διευκολύνει τη συντονισμένη και συγχρονισμένη εγκατάσταση συνεργατικών σχηματισμών εκτέλεσης έργων (IP) στην Ευρώπη. Οι εν λόγω IP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s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ευθυγραμμ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ίζονται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με το πρότυπο κο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ινών έργων (PCP), όπως ορίζεται στον κανονισμό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(ΕΕ) αριθ.</w:t>
            </w:r>
            <w:r w:rsidRPr="00472880">
              <w:rPr>
                <w:rFonts w:ascii="Arial" w:eastAsia="Times New Roman" w:hAnsi="Arial"/>
                <w:color w:val="000000"/>
                <w:sz w:val="14"/>
                <w:szCs w:val="14"/>
                <w:lang w:val="el-GR" w:eastAsia="en-GB"/>
              </w:rPr>
              <w:t> 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716/2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014 και αναμένεται πετύχουν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βελτίωση όσον αφορά τις επιδόσεις της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διαχείρισης της εναέριας κυκλοφορίας (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ATM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)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βραχυπρόθεσμα και μεσοπρόθεσμα (μέχρι το 2020). Η δράση αυτή περιλαμβ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άνει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IP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s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και στις έξι λειτουργίες της ATM (AF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s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)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που περιγράφονται στην PCP. Ο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προγραμματισμό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 της εφαρμογής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είναι σύμφωνο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με τις επιδιωκόμενες ημερομηνίες εγκατάστασης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που καθορίζονται στον κανονισμό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(ΕΕ) αριθ.</w:t>
            </w:r>
            <w:r w:rsidRPr="00472880">
              <w:rPr>
                <w:rFonts w:ascii="Arial" w:eastAsia="Times New Roman" w:hAnsi="Arial"/>
                <w:color w:val="000000"/>
                <w:sz w:val="14"/>
                <w:szCs w:val="14"/>
                <w:lang w:val="el-GR" w:eastAsia="en-GB"/>
              </w:rPr>
              <w:t> 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716/2014.</w:t>
            </w:r>
          </w:p>
        </w:tc>
        <w:tc>
          <w:tcPr>
            <w:tcW w:w="1602" w:type="dxa"/>
            <w:tcBorders>
              <w:right w:val="single" w:sz="8" w:space="0" w:color="7BA0CD"/>
            </w:tcBorders>
            <w:shd w:val="clear" w:color="auto" w:fill="auto"/>
            <w:vAlign w:val="center"/>
          </w:tcPr>
          <w:p w:rsidR="00037B2F" w:rsidRPr="00472880" w:rsidRDefault="00037B2F" w:rsidP="008D2F92">
            <w:pPr>
              <w:jc w:val="right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10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501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517</w:t>
            </w:r>
          </w:p>
        </w:tc>
      </w:tr>
      <w:tr w:rsidR="00037B2F" w:rsidRPr="00B71C9B" w:rsidTr="008D2F92">
        <w:trPr>
          <w:cantSplit/>
          <w:trHeight w:val="1785"/>
        </w:trPr>
        <w:tc>
          <w:tcPr>
            <w:tcW w:w="1037" w:type="dxa"/>
            <w:tcBorders>
              <w:left w:val="single" w:sz="8" w:space="0" w:color="7BA0CD"/>
            </w:tcBorders>
            <w:shd w:val="clear" w:color="auto" w:fill="auto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ΓΕΝΙΚΑ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2015-EU-TM-0250-M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37B2F" w:rsidRPr="00472880" w:rsidRDefault="00037B2F" w:rsidP="008D2F92">
            <w:pP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Car</w:t>
            </w:r>
            <w:proofErr w:type="spellEnd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E</w:t>
            </w:r>
            <w:proofErr w:type="spellStart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smatic</w:t>
            </w:r>
            <w:proofErr w:type="spellEnd"/>
          </w:p>
        </w:tc>
        <w:tc>
          <w:tcPr>
            <w:tcW w:w="3775" w:type="dxa"/>
            <w:shd w:val="clear" w:color="auto" w:fill="auto"/>
            <w:vAlign w:val="center"/>
          </w:tcPr>
          <w:p w:rsidR="00037B2F" w:rsidRPr="00472880" w:rsidRDefault="00037B2F" w:rsidP="008D2F92">
            <w:pPr>
              <w:jc w:val="both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Το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Koper</w:t>
            </w:r>
            <w:proofErr w:type="spellEnd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, η Βαρκελώνη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και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ο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Πειραιά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 συνιστούν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βασικά λιμάνια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εντός των  διαδρόμων της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Βαλτικής-Αδριατικής,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της Μεσογείου και της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Ανατολής/Ανατολικής Μεσογείου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αντίστοιχα. Η δράση θα συνεισφέρει στη βελτίωση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της υφιστάμενης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υπηρεσίας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Θαλάσσιων Αρτηριών (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Mο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S</w:t>
            </w:r>
            <w:proofErr w:type="spellEnd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)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με σκοπό την αύξηση της μεταφοράς ηλεκτρικών οχημάτων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διά θαλάσσης.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Για το σκοπό αυτό, η δράση θα: αναπτύξει υποδομές πρόσβασης σε δύο λιμένες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(</w:t>
            </w:r>
            <w:proofErr w:type="spellStart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Koper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και Βαρκελώνη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) ώστε να βελτιώσει την πρόσβαση σε λιμένες και σιδηροδρομικές ανταποκρίσεις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.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Θα αναπτυχθεί επίσης η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ι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χνηλασιμότητα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του οχήματος κα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τά τη διάρκεια της μεταφοράς μέσω της χρήσης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proofErr w:type="spellStart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ραδιοσυχνική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αναγνώριση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. Περαιτέρω,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στο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Koper</w:t>
            </w:r>
            <w:proofErr w:type="spellEnd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και τη Βαρκελώνη θα μελετηθεί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και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θα προχωρήσουν στην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εγκατάσταση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πρωτότυπων στηλών ηλεκτρονικής φόρτισης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και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με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μία μελέτη θα αξιολογ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ηθούν οι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περιβαλλοντικές επιδόσ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εις της γραμμής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Neptune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,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τ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ο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υ φορέα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εκμετάλλευσης της σύνδεσης. Τα συν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ολικά οφέλη θα περιλαμβάνουν την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αποσυμφόρηση του οδικού δικτύου και την προώθηση καθαρότερων πηγών ενέργειας.</w:t>
            </w:r>
          </w:p>
        </w:tc>
        <w:tc>
          <w:tcPr>
            <w:tcW w:w="1602" w:type="dxa"/>
            <w:tcBorders>
              <w:right w:val="single" w:sz="8" w:space="0" w:color="7BA0CD"/>
            </w:tcBorders>
            <w:shd w:val="clear" w:color="auto" w:fill="auto"/>
            <w:vAlign w:val="center"/>
          </w:tcPr>
          <w:p w:rsidR="00037B2F" w:rsidRPr="00472880" w:rsidRDefault="00037B2F" w:rsidP="008D2F92">
            <w:pPr>
              <w:jc w:val="right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31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000</w:t>
            </w:r>
          </w:p>
        </w:tc>
      </w:tr>
      <w:tr w:rsidR="00037B2F" w:rsidRPr="00472880" w:rsidTr="008D2F92">
        <w:trPr>
          <w:cantSplit/>
          <w:trHeight w:val="1530"/>
        </w:trPr>
        <w:tc>
          <w:tcPr>
            <w:tcW w:w="1037" w:type="dxa"/>
            <w:tcBorders>
              <w:left w:val="single" w:sz="8" w:space="0" w:color="7BA0CD"/>
            </w:tcBorders>
            <w:shd w:val="clear" w:color="auto" w:fill="D3DFEE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lastRenderedPageBreak/>
              <w:t>ΓΕΝΙΚΑ</w:t>
            </w:r>
          </w:p>
        </w:tc>
        <w:tc>
          <w:tcPr>
            <w:tcW w:w="1577" w:type="dxa"/>
            <w:shd w:val="clear" w:color="auto" w:fill="D3DFEE"/>
            <w:vAlign w:val="center"/>
          </w:tcPr>
          <w:p w:rsidR="00037B2F" w:rsidRPr="00472880" w:rsidRDefault="00037B2F" w:rsidP="008D2F92">
            <w:pPr>
              <w:jc w:val="center"/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b/>
                <w:bCs/>
                <w:color w:val="000000"/>
                <w:sz w:val="14"/>
                <w:szCs w:val="14"/>
                <w:lang w:val="el-GR" w:eastAsia="en-GB"/>
              </w:rPr>
              <w:t>2015-EU-TM-0310-M</w:t>
            </w:r>
          </w:p>
        </w:tc>
        <w:tc>
          <w:tcPr>
            <w:tcW w:w="1296" w:type="dxa"/>
            <w:shd w:val="clear" w:color="auto" w:fill="D3DFEE"/>
            <w:vAlign w:val="center"/>
          </w:tcPr>
          <w:p w:rsidR="00037B2F" w:rsidRPr="00BC5D34" w:rsidRDefault="00037B2F" w:rsidP="008D2F92">
            <w:pP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ADRI</w:t>
            </w:r>
            <w:r w:rsidRPr="00AD1649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-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UP</w:t>
            </w:r>
            <w:r w:rsidRPr="00AD1649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-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Α</w:t>
            </w:r>
            <w:r w:rsidRPr="00AD1649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ναβαθμισμένες υπηρεσίες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Θαλάσσιας Αρτηρίας στην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Αδ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ριατική </w:t>
            </w:r>
          </w:p>
        </w:tc>
        <w:tc>
          <w:tcPr>
            <w:tcW w:w="3775" w:type="dxa"/>
            <w:shd w:val="clear" w:color="auto" w:fill="D3DFEE"/>
            <w:vAlign w:val="center"/>
          </w:tcPr>
          <w:p w:rsidR="00037B2F" w:rsidRPr="00472880" w:rsidRDefault="00037B2F" w:rsidP="008D2F92">
            <w:pPr>
              <w:jc w:val="both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Το </w:t>
            </w:r>
            <w:r w:rsidRPr="00BC5D34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ADRI-UP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αναπτύσσει υποδομές για την λιμενική κα εφοδιαστική υποστήριξη ενισχύοντας τις  υπηρεσίες  εφοδιαστικής των τακτικών πλωτών μεταφορών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κατά μήκος του διαδρόμου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της Θαλάσσιας Αρτηρίας (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MoS</w:t>
            </w:r>
            <w:proofErr w:type="spellEnd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)</w:t>
            </w:r>
            <w:r w:rsidRPr="00F241C1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Αδρια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τικής-Ιονίου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μεταξ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ύ των κεντρικών λιμένων  Τεργέστης,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Ανκόνας</w:t>
            </w:r>
            <w:proofErr w:type="spellEnd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και Ηγουμενίτσας. Αυτό καθιστά δυνατή τη σύνδεση και ενοποίηση τεσσάρων διαδρόμων τ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ων ΔΕΔ-Μ. Η δράση συνίσταται σ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τις ακόλουθες δραστηριότητες: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στην κ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ατασκευή εμπορευματικού χωριού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στην Ηγουμενίτσα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και σύνδεση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ς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με την ενδοχώρα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Μελέτες της σιδηροδρομικής υποδομ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ής και των τερματικών σταθμών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RO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/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eastAsia="en-GB"/>
              </w:rPr>
              <w:t>PAX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στο λιμάνι της Ανκόνα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.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Αναδιάρθρωση της προβλήτας VI στην Τεργέστη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Ενσωμάτωση της θαλάσσιας σύνδεσης και τ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ου </w:t>
            </w:r>
            <w:proofErr w:type="spellStart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π</w:t>
            </w:r>
            <w:r w:rsidRPr="00215A74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αραλιμένιο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υ</w:t>
            </w:r>
            <w:proofErr w:type="spellEnd"/>
            <w:r w:rsidRPr="00215A74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τερματικ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ού</w:t>
            </w:r>
            <w:r w:rsidRPr="00215A74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σταθμ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ού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του </w:t>
            </w:r>
            <w:proofErr w:type="spellStart"/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Fernetti</w:t>
            </w:r>
            <w:proofErr w:type="spellEnd"/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 Καινοτόμα εργαλεία ΤΠΕ. Η δράση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βελτιώνει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τη σύνδεση των λιμένων με την ενδοχώρα,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αυξάνοντας 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 xml:space="preserve">τη 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μετα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στροφή προς άλλα μέσα μεταφοράς και τη χρήση βιώσιμων τρόπων μεταφοράς.</w:t>
            </w:r>
          </w:p>
        </w:tc>
        <w:tc>
          <w:tcPr>
            <w:tcW w:w="1602" w:type="dxa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037B2F" w:rsidRPr="00472880" w:rsidRDefault="00037B2F" w:rsidP="008D2F92">
            <w:pPr>
              <w:jc w:val="right"/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3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396</w:t>
            </w:r>
            <w: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.</w:t>
            </w:r>
            <w:r w:rsidRPr="00472880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000</w:t>
            </w:r>
          </w:p>
        </w:tc>
      </w:tr>
      <w:tr w:rsidR="00037B2F" w:rsidRPr="00C63883" w:rsidTr="008D2F92">
        <w:trPr>
          <w:cantSplit/>
          <w:trHeight w:val="550"/>
        </w:trPr>
        <w:tc>
          <w:tcPr>
            <w:tcW w:w="9287" w:type="dxa"/>
            <w:gridSpan w:val="5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7" w:type="dxa"/>
            </w:tcMar>
            <w:vAlign w:val="center"/>
          </w:tcPr>
          <w:p w:rsidR="00037B2F" w:rsidRPr="00472880" w:rsidRDefault="00037B2F" w:rsidP="008D2F92">
            <w:pPr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</w:pPr>
            <w:r w:rsidRPr="005E7836">
              <w:rPr>
                <w:rFonts w:ascii="EC Square Sans Pro" w:eastAsia="Times New Roman" w:hAnsi="EC Square Sans Pro"/>
                <w:color w:val="000000"/>
                <w:sz w:val="14"/>
                <w:szCs w:val="14"/>
                <w:lang w:val="el-GR" w:eastAsia="en-GB"/>
              </w:rPr>
              <w:t>** Η χρηματοδότηση ΔΣΕ στο πλαίσιο πολυεθνικών προτάσεων (ΕΕ) κατανεμήθηκε στα αντίστοιχα κράτη μέλη με βάση το μερίδιο κάθε αιτούντα στην πρόταση και τον τόπο της επίσημης έδρας τους.</w:t>
            </w:r>
          </w:p>
        </w:tc>
      </w:tr>
    </w:tbl>
    <w:p w:rsidR="00037B2F" w:rsidRPr="00472880" w:rsidRDefault="00037B2F" w:rsidP="00037B2F">
      <w:pPr>
        <w:rPr>
          <w:rFonts w:ascii="EC Square Sans Pro" w:hAnsi="EC Square Sans Pro"/>
          <w:lang w:val="el-GR"/>
        </w:rPr>
      </w:pPr>
    </w:p>
    <w:p w:rsidR="00037B2F" w:rsidRPr="00026B90" w:rsidRDefault="00037B2F" w:rsidP="00037B2F">
      <w:pPr>
        <w:rPr>
          <w:lang w:val="el-GR"/>
        </w:rPr>
      </w:pPr>
    </w:p>
    <w:p w:rsidR="00404B27" w:rsidRPr="00037B2F" w:rsidRDefault="00404B27">
      <w:pPr>
        <w:rPr>
          <w:lang w:val="el-GR"/>
        </w:rPr>
      </w:pPr>
    </w:p>
    <w:sectPr w:rsidR="00404B27" w:rsidRPr="00037B2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B66"/>
    <w:multiLevelType w:val="multilevel"/>
    <w:tmpl w:val="E0C0B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2F"/>
    <w:rsid w:val="00016016"/>
    <w:rsid w:val="00020739"/>
    <w:rsid w:val="00032648"/>
    <w:rsid w:val="00037B2F"/>
    <w:rsid w:val="00040276"/>
    <w:rsid w:val="00064397"/>
    <w:rsid w:val="0007409D"/>
    <w:rsid w:val="0009006E"/>
    <w:rsid w:val="000A37A2"/>
    <w:rsid w:val="000A4ACD"/>
    <w:rsid w:val="000C2335"/>
    <w:rsid w:val="000F1750"/>
    <w:rsid w:val="001060CD"/>
    <w:rsid w:val="00106E91"/>
    <w:rsid w:val="00116C3B"/>
    <w:rsid w:val="001236A0"/>
    <w:rsid w:val="0012687A"/>
    <w:rsid w:val="00173DEA"/>
    <w:rsid w:val="0018073B"/>
    <w:rsid w:val="001A02E7"/>
    <w:rsid w:val="001D29DF"/>
    <w:rsid w:val="001D48DF"/>
    <w:rsid w:val="001E30D7"/>
    <w:rsid w:val="00211EBB"/>
    <w:rsid w:val="00215F90"/>
    <w:rsid w:val="00221222"/>
    <w:rsid w:val="00227933"/>
    <w:rsid w:val="0023599E"/>
    <w:rsid w:val="00245AC5"/>
    <w:rsid w:val="00253645"/>
    <w:rsid w:val="00256757"/>
    <w:rsid w:val="00267F26"/>
    <w:rsid w:val="002717E4"/>
    <w:rsid w:val="002817D8"/>
    <w:rsid w:val="002846C7"/>
    <w:rsid w:val="002C4927"/>
    <w:rsid w:val="002D14CA"/>
    <w:rsid w:val="002D189A"/>
    <w:rsid w:val="002F06F8"/>
    <w:rsid w:val="002F0CF7"/>
    <w:rsid w:val="002F3CF6"/>
    <w:rsid w:val="00307430"/>
    <w:rsid w:val="00333C5B"/>
    <w:rsid w:val="00335233"/>
    <w:rsid w:val="003402DA"/>
    <w:rsid w:val="003413BF"/>
    <w:rsid w:val="003562DA"/>
    <w:rsid w:val="00356DE7"/>
    <w:rsid w:val="0036016D"/>
    <w:rsid w:val="00375ADC"/>
    <w:rsid w:val="003909BD"/>
    <w:rsid w:val="003B1286"/>
    <w:rsid w:val="003B3E6A"/>
    <w:rsid w:val="003C0AA5"/>
    <w:rsid w:val="003C2641"/>
    <w:rsid w:val="003C4596"/>
    <w:rsid w:val="003E51EA"/>
    <w:rsid w:val="003F4A64"/>
    <w:rsid w:val="00404B27"/>
    <w:rsid w:val="004132CB"/>
    <w:rsid w:val="004175A6"/>
    <w:rsid w:val="00417A8D"/>
    <w:rsid w:val="00432B79"/>
    <w:rsid w:val="004429B5"/>
    <w:rsid w:val="004453E0"/>
    <w:rsid w:val="00486705"/>
    <w:rsid w:val="00491901"/>
    <w:rsid w:val="00497779"/>
    <w:rsid w:val="00497FA1"/>
    <w:rsid w:val="004D2769"/>
    <w:rsid w:val="004E6374"/>
    <w:rsid w:val="004F4790"/>
    <w:rsid w:val="00512183"/>
    <w:rsid w:val="00516034"/>
    <w:rsid w:val="00516FE9"/>
    <w:rsid w:val="00527241"/>
    <w:rsid w:val="00530469"/>
    <w:rsid w:val="00534E31"/>
    <w:rsid w:val="005629FA"/>
    <w:rsid w:val="005B5CF8"/>
    <w:rsid w:val="005B6F8C"/>
    <w:rsid w:val="005C1D84"/>
    <w:rsid w:val="005D0901"/>
    <w:rsid w:val="005D30D4"/>
    <w:rsid w:val="005F0522"/>
    <w:rsid w:val="0061734D"/>
    <w:rsid w:val="0063181D"/>
    <w:rsid w:val="00632889"/>
    <w:rsid w:val="00643BE3"/>
    <w:rsid w:val="0065405F"/>
    <w:rsid w:val="0065647F"/>
    <w:rsid w:val="00682866"/>
    <w:rsid w:val="0069592D"/>
    <w:rsid w:val="00695E7B"/>
    <w:rsid w:val="006A233D"/>
    <w:rsid w:val="006B49D3"/>
    <w:rsid w:val="006C1F17"/>
    <w:rsid w:val="006E4297"/>
    <w:rsid w:val="006F4E10"/>
    <w:rsid w:val="0070797D"/>
    <w:rsid w:val="00736AD4"/>
    <w:rsid w:val="00737F0A"/>
    <w:rsid w:val="00741070"/>
    <w:rsid w:val="00741A2F"/>
    <w:rsid w:val="007466D9"/>
    <w:rsid w:val="00755AFA"/>
    <w:rsid w:val="00781101"/>
    <w:rsid w:val="00783BC5"/>
    <w:rsid w:val="007A7C32"/>
    <w:rsid w:val="007B0898"/>
    <w:rsid w:val="007D1106"/>
    <w:rsid w:val="007D6407"/>
    <w:rsid w:val="007D706F"/>
    <w:rsid w:val="007F3810"/>
    <w:rsid w:val="00811D28"/>
    <w:rsid w:val="00814167"/>
    <w:rsid w:val="00847089"/>
    <w:rsid w:val="00857ED7"/>
    <w:rsid w:val="00864E6A"/>
    <w:rsid w:val="00882C79"/>
    <w:rsid w:val="00896BDD"/>
    <w:rsid w:val="008A79CD"/>
    <w:rsid w:val="008C339E"/>
    <w:rsid w:val="008C37E7"/>
    <w:rsid w:val="008D354A"/>
    <w:rsid w:val="008D413B"/>
    <w:rsid w:val="008E2B10"/>
    <w:rsid w:val="008E647A"/>
    <w:rsid w:val="008F40CD"/>
    <w:rsid w:val="009111A8"/>
    <w:rsid w:val="009661D5"/>
    <w:rsid w:val="00981DC9"/>
    <w:rsid w:val="00994DDE"/>
    <w:rsid w:val="009C5083"/>
    <w:rsid w:val="009C5F65"/>
    <w:rsid w:val="009C7736"/>
    <w:rsid w:val="009D12F3"/>
    <w:rsid w:val="009D335B"/>
    <w:rsid w:val="009D36D3"/>
    <w:rsid w:val="009E3F44"/>
    <w:rsid w:val="009F6163"/>
    <w:rsid w:val="00A05C5A"/>
    <w:rsid w:val="00A1443A"/>
    <w:rsid w:val="00A22279"/>
    <w:rsid w:val="00A245E7"/>
    <w:rsid w:val="00A25C36"/>
    <w:rsid w:val="00A32938"/>
    <w:rsid w:val="00A41182"/>
    <w:rsid w:val="00A46DA4"/>
    <w:rsid w:val="00A52056"/>
    <w:rsid w:val="00A77598"/>
    <w:rsid w:val="00A83FFF"/>
    <w:rsid w:val="00A90D11"/>
    <w:rsid w:val="00AC2372"/>
    <w:rsid w:val="00AE5444"/>
    <w:rsid w:val="00AF138A"/>
    <w:rsid w:val="00B13891"/>
    <w:rsid w:val="00B36B9D"/>
    <w:rsid w:val="00B8019B"/>
    <w:rsid w:val="00B84B83"/>
    <w:rsid w:val="00B872B8"/>
    <w:rsid w:val="00B91519"/>
    <w:rsid w:val="00B933B2"/>
    <w:rsid w:val="00BA23C0"/>
    <w:rsid w:val="00BB6B40"/>
    <w:rsid w:val="00BE5491"/>
    <w:rsid w:val="00BE6E68"/>
    <w:rsid w:val="00BF7678"/>
    <w:rsid w:val="00C63883"/>
    <w:rsid w:val="00C64BB1"/>
    <w:rsid w:val="00C7474A"/>
    <w:rsid w:val="00C86488"/>
    <w:rsid w:val="00CA1BBC"/>
    <w:rsid w:val="00CA51F3"/>
    <w:rsid w:val="00CA591A"/>
    <w:rsid w:val="00CC4006"/>
    <w:rsid w:val="00CD37A2"/>
    <w:rsid w:val="00CD4F4A"/>
    <w:rsid w:val="00D20694"/>
    <w:rsid w:val="00D339A5"/>
    <w:rsid w:val="00D7635C"/>
    <w:rsid w:val="00D84848"/>
    <w:rsid w:val="00D92F01"/>
    <w:rsid w:val="00DA2265"/>
    <w:rsid w:val="00DC6E72"/>
    <w:rsid w:val="00DC7529"/>
    <w:rsid w:val="00DC76F9"/>
    <w:rsid w:val="00DC7B5B"/>
    <w:rsid w:val="00DD16A6"/>
    <w:rsid w:val="00DE417F"/>
    <w:rsid w:val="00DE4A2A"/>
    <w:rsid w:val="00E208EA"/>
    <w:rsid w:val="00E25418"/>
    <w:rsid w:val="00E31BFE"/>
    <w:rsid w:val="00E33DE4"/>
    <w:rsid w:val="00E420DD"/>
    <w:rsid w:val="00E4346C"/>
    <w:rsid w:val="00E775F0"/>
    <w:rsid w:val="00E9293C"/>
    <w:rsid w:val="00EE1FBB"/>
    <w:rsid w:val="00F101BB"/>
    <w:rsid w:val="00F40A06"/>
    <w:rsid w:val="00F434D2"/>
    <w:rsid w:val="00F52969"/>
    <w:rsid w:val="00F57560"/>
    <w:rsid w:val="00F6567C"/>
    <w:rsid w:val="00F74979"/>
    <w:rsid w:val="00F82020"/>
    <w:rsid w:val="00FB70B7"/>
    <w:rsid w:val="00FB7457"/>
    <w:rsid w:val="00FD3947"/>
    <w:rsid w:val="00FE3CEC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7B2F"/>
    <w:rPr>
      <w:b/>
      <w:bCs/>
    </w:rPr>
  </w:style>
  <w:style w:type="character" w:styleId="Emphasis">
    <w:name w:val="Emphasis"/>
    <w:basedOn w:val="DefaultParagraphFont"/>
    <w:qFormat/>
    <w:rsid w:val="00037B2F"/>
    <w:rPr>
      <w:i/>
      <w:iCs/>
    </w:rPr>
  </w:style>
  <w:style w:type="paragraph" w:styleId="NormalWeb">
    <w:name w:val="Normal (Web)"/>
    <w:basedOn w:val="Normal"/>
    <w:qFormat/>
    <w:rsid w:val="00037B2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37B2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37B2F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37B2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037B2F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37B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7B2F"/>
    <w:rPr>
      <w:b/>
      <w:bCs/>
    </w:rPr>
  </w:style>
  <w:style w:type="character" w:styleId="Emphasis">
    <w:name w:val="Emphasis"/>
    <w:basedOn w:val="DefaultParagraphFont"/>
    <w:qFormat/>
    <w:rsid w:val="00037B2F"/>
    <w:rPr>
      <w:i/>
      <w:iCs/>
    </w:rPr>
  </w:style>
  <w:style w:type="paragraph" w:styleId="NormalWeb">
    <w:name w:val="Normal (Web)"/>
    <w:basedOn w:val="Normal"/>
    <w:qFormat/>
    <w:rsid w:val="00037B2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37B2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37B2F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37B2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037B2F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37B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net1.cec.eu.int\inea\Unit\R\R1\Evaluation\CEF\TRANSPORT\2015\Country%20Fiches\CEF%20T%20Calls%202015%20-%20Country%20fiches%20Statistics%20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833786957643936"/>
          <c:y val="0.11286237420745837"/>
          <c:w val="0.79756701388888884"/>
          <c:h val="0.736533333333333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Stats!$J$12</c:f>
              <c:strCache>
                <c:ptCount val="1"/>
                <c:pt idx="0">
                  <c:v>Requested funding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GB"/>
                      <a:t>81</a:t>
                    </a:r>
                    <a:r>
                      <a:rPr lang="el-GR"/>
                      <a:t>,</a:t>
                    </a:r>
                    <a:r>
                      <a:rPr lang="en-GB"/>
                      <a:t>7
(4)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GB"/>
                      <a:t>59</a:t>
                    </a:r>
                    <a:r>
                      <a:rPr lang="el-GR"/>
                      <a:t>,</a:t>
                    </a:r>
                    <a:r>
                      <a:rPr lang="en-GB"/>
                      <a:t>9
(16)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EC Square Sans Pro" panose="020B05060400000200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Stats!$I$13:$I$14</c:f>
              <c:strCache>
                <c:ptCount val="2"/>
                <c:pt idx="0">
                  <c:v>Cohesion</c:v>
                </c:pt>
                <c:pt idx="1">
                  <c:v>General</c:v>
                </c:pt>
              </c:strCache>
            </c:strRef>
          </c:cat>
          <c:val>
            <c:numRef>
              <c:f>Stats!$J$13:$J$14</c:f>
              <c:numCache>
                <c:formatCode>General</c:formatCode>
                <c:ptCount val="2"/>
                <c:pt idx="0">
                  <c:v>81657143.207682371</c:v>
                </c:pt>
                <c:pt idx="1">
                  <c:v>59896637</c:v>
                </c:pt>
              </c:numCache>
            </c:numRef>
          </c:val>
        </c:ser>
        <c:ser>
          <c:idx val="1"/>
          <c:order val="1"/>
          <c:tx>
            <c:strRef>
              <c:f>Stats!$L$12</c:f>
              <c:strCache>
                <c:ptCount val="1"/>
                <c:pt idx="0">
                  <c:v>Recommended funding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GB"/>
                      <a:t>80</a:t>
                    </a:r>
                    <a:r>
                      <a:rPr lang="el-GR"/>
                      <a:t>,</a:t>
                    </a:r>
                    <a:r>
                      <a:rPr lang="en-GB"/>
                      <a:t>0
(4)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GB"/>
                      <a:t>14</a:t>
                    </a:r>
                    <a:r>
                      <a:rPr lang="el-GR"/>
                      <a:t>,</a:t>
                    </a:r>
                    <a:r>
                      <a:rPr lang="en-GB"/>
                      <a:t>1
(5)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EC Square Sans Pro" panose="020B05060400000200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Stats!$I$13:$I$14</c:f>
              <c:strCache>
                <c:ptCount val="2"/>
                <c:pt idx="0">
                  <c:v>Cohesion</c:v>
                </c:pt>
                <c:pt idx="1">
                  <c:v>General</c:v>
                </c:pt>
              </c:strCache>
            </c:strRef>
          </c:cat>
          <c:val>
            <c:numRef>
              <c:f>Stats!$L$13:$L$14</c:f>
              <c:numCache>
                <c:formatCode>General</c:formatCode>
                <c:ptCount val="2"/>
                <c:pt idx="0">
                  <c:v>79956705.099621847</c:v>
                </c:pt>
                <c:pt idx="1">
                  <c:v>14093892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1556224"/>
        <c:axId val="251557760"/>
      </c:barChart>
      <c:catAx>
        <c:axId val="25155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51557760"/>
        <c:crosses val="autoZero"/>
        <c:auto val="1"/>
        <c:lblAlgn val="ctr"/>
        <c:lblOffset val="100"/>
        <c:noMultiLvlLbl val="0"/>
      </c:catAx>
      <c:valAx>
        <c:axId val="251557760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EC Square Sans Pro" panose="020B0506040000020004" pitchFamily="34" charset="0"/>
              </a:defRPr>
            </a:pPr>
            <a:endParaRPr lang="en-US"/>
          </a:p>
        </c:txPr>
        <c:crossAx val="251556224"/>
        <c:crosses val="autoZero"/>
        <c:crossBetween val="between"/>
        <c:dispUnits>
          <c:builtInUnit val="millions"/>
          <c:dispUnitsLbl>
            <c:tx>
              <c:rich>
                <a:bodyPr/>
                <a:lstStyle/>
                <a:p>
                  <a:pPr>
                    <a:defRPr>
                      <a:latin typeface="EC Square Sans Pro" panose="020B0506040000020004" pitchFamily="34" charset="0"/>
                    </a:defRPr>
                  </a:pPr>
                  <a:r>
                    <a:rPr lang="el-GR"/>
                    <a:t>εκατ.</a:t>
                  </a:r>
                  <a:endParaRPr lang="en-GB"/>
                </a:p>
              </c:rich>
            </c:tx>
          </c:dispUnitsLbl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Recommended funding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9"/>
                <c:pt idx="0">
                  <c:v>Atlantic</c:v>
                </c:pt>
                <c:pt idx="1">
                  <c:v>Baltic - Adriatic</c:v>
                </c:pt>
                <c:pt idx="2">
                  <c:v>Mediterranean</c:v>
                </c:pt>
                <c:pt idx="3">
                  <c:v>North Sea - Baltic</c:v>
                </c:pt>
                <c:pt idx="4">
                  <c:v>North Sea - Mediterranean</c:v>
                </c:pt>
                <c:pt idx="5">
                  <c:v>Orient/East-Med</c:v>
                </c:pt>
                <c:pt idx="6">
                  <c:v>Rhine - Alpine</c:v>
                </c:pt>
                <c:pt idx="7">
                  <c:v>Rhine - Danube</c:v>
                </c:pt>
                <c:pt idx="8">
                  <c:v>Scandinavian - Mediterranean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0</c:v>
                </c:pt>
                <c:pt idx="1">
                  <c:v>3427000</c:v>
                </c:pt>
                <c:pt idx="2">
                  <c:v>31000</c:v>
                </c:pt>
                <c:pt idx="3">
                  <c:v>0</c:v>
                </c:pt>
                <c:pt idx="4">
                  <c:v>0</c:v>
                </c:pt>
                <c:pt idx="5">
                  <c:v>82898835</c:v>
                </c:pt>
                <c:pt idx="6">
                  <c:v>0</c:v>
                </c:pt>
                <c:pt idx="7">
                  <c:v>0</c:v>
                </c:pt>
                <c:pt idx="8">
                  <c:v>3396000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38517248"/>
        <c:axId val="238519040"/>
      </c:barChart>
      <c:catAx>
        <c:axId val="238517248"/>
        <c:scaling>
          <c:orientation val="maxMin"/>
        </c:scaling>
        <c:delete val="0"/>
        <c:axPos val="l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800" spc="-1">
                <a:solidFill>
                  <a:srgbClr val="000000"/>
                </a:solidFill>
                <a:latin typeface="EC Square Sans Pro"/>
              </a:defRPr>
            </a:pPr>
            <a:endParaRPr lang="en-US"/>
          </a:p>
        </c:txPr>
        <c:crossAx val="238519040"/>
        <c:crosses val="autoZero"/>
        <c:auto val="1"/>
        <c:lblAlgn val="ctr"/>
        <c:lblOffset val="100"/>
        <c:noMultiLvlLbl val="1"/>
      </c:catAx>
      <c:valAx>
        <c:axId val="238519040"/>
        <c:scaling>
          <c:orientation val="minMax"/>
          <c:min val="0"/>
        </c:scaling>
        <c:delete val="1"/>
        <c:axPos val="t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[&gt;0]* #,##0\ ;[&lt;0]\-* #,##0\ ;* \-#\ ;@\ " sourceLinked="0"/>
        <c:majorTickMark val="out"/>
        <c:minorTickMark val="none"/>
        <c:tickLblPos val="nextTo"/>
        <c:crossAx val="238517248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0.54397</cdr:x>
      <cdr:y>0.0804</cdr:y>
    </cdr:from>
    <cdr:to>
      <cdr:x>0.9639</cdr:x>
      <cdr:y>0.19894</cdr:y>
    </cdr:to>
    <cdr:sp macro="" textlink="">
      <cdr:nvSpPr>
        <cdr:cNvPr id="2" name="TextBox 8"/>
        <cdr:cNvSpPr txBox="1"/>
      </cdr:nvSpPr>
      <cdr:spPr>
        <a:xfrm xmlns:a="http://schemas.openxmlformats.org/drawingml/2006/main">
          <a:off x="1566476" y="144686"/>
          <a:ext cx="1209305" cy="21332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rtl="0"/>
          <a:r>
            <a:rPr lang="en-GB" sz="800">
              <a:latin typeface="EC Square Sans Pro" panose="020B0506040000020004" pitchFamily="34" charset="0"/>
            </a:rPr>
            <a:t>( ) =</a:t>
          </a:r>
          <a:r>
            <a:rPr lang="en-GB" sz="800" baseline="0">
              <a:latin typeface="EC Square Sans Pro" panose="020B0506040000020004" pitchFamily="34" charset="0"/>
            </a:rPr>
            <a:t> </a:t>
          </a:r>
          <a:r>
            <a:rPr lang="el-GR" sz="800" baseline="0">
              <a:latin typeface="EC Square Sans Pro" panose="020B0506040000020004" pitchFamily="34" charset="0"/>
            </a:rPr>
            <a:t>αριθμός προτάσεων</a:t>
          </a:r>
          <a:endParaRPr lang="en-GB" sz="800" baseline="0">
            <a:latin typeface="EC Square Sans Pro" panose="020B05060400000200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MISSIRA Vasiliki (COMM-ATHENS-EXT)</dc:creator>
  <cp:lastModifiedBy>MISSIRA Vasiliki (COMM-ATHENS-EXT)</cp:lastModifiedBy>
  <cp:revision>4</cp:revision>
  <cp:lastPrinted>2016-07-12T07:39:00Z</cp:lastPrinted>
  <dcterms:created xsi:type="dcterms:W3CDTF">2016-07-11T06:15:00Z</dcterms:created>
  <dcterms:modified xsi:type="dcterms:W3CDTF">2016-07-12T07:53:00Z</dcterms:modified>
</cp:coreProperties>
</file>